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38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1" w:line="7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26"/>
          <w:sz w:val="44"/>
          <w:szCs w:val="44"/>
        </w:rPr>
      </w:pPr>
    </w:p>
    <w:p w14:paraId="581B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1" w:line="7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26"/>
          <w:sz w:val="44"/>
          <w:szCs w:val="44"/>
        </w:rPr>
      </w:pPr>
    </w:p>
    <w:p w14:paraId="4448D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1" w:line="7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2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6"/>
          <w:sz w:val="44"/>
          <w:szCs w:val="44"/>
        </w:rPr>
        <w:t>关于举办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6"/>
          <w:sz w:val="44"/>
          <w:szCs w:val="44"/>
          <w:lang w:val="en-US" w:eastAsia="zh-CN"/>
        </w:rPr>
        <w:t>呼和浩特市知识产权助企兴企政策</w:t>
      </w:r>
    </w:p>
    <w:p w14:paraId="65D871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1" w:line="70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4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4"/>
          <w:sz w:val="44"/>
          <w:szCs w:val="44"/>
          <w:lang w:val="en-US" w:eastAsia="zh-CN"/>
        </w:rPr>
        <w:t>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4"/>
          <w:sz w:val="44"/>
          <w:szCs w:val="44"/>
        </w:rPr>
        <w:t>的通知</w:t>
      </w:r>
    </w:p>
    <w:p w14:paraId="04F0E9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540" w:lineRule="exact"/>
        <w:ind w:right="4"/>
        <w:jc w:val="both"/>
        <w:textAlignment w:val="baseline"/>
        <w:rPr>
          <w:rFonts w:ascii="Times New Roman" w:hAnsi="Times New Roman" w:eastAsia="仿宋_GB2312"/>
          <w:spacing w:val="13"/>
          <w:sz w:val="32"/>
          <w:szCs w:val="32"/>
        </w:rPr>
      </w:pPr>
      <w:r>
        <w:rPr>
          <w:rFonts w:ascii="Times New Roman" w:hAnsi="Times New Roman" w:eastAsia="仿宋_GB2312"/>
          <w:spacing w:val="13"/>
          <w:sz w:val="32"/>
          <w:szCs w:val="32"/>
        </w:rPr>
        <w:t>各有关单位：</w:t>
      </w:r>
    </w:p>
    <w:p w14:paraId="73D8CB45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ascii="Times New Roman" w:hAnsi="Times New Roman" w:eastAsia="仿宋_GB2312"/>
          <w:spacing w:val="7"/>
          <w:sz w:val="32"/>
          <w:szCs w:val="32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</w:rPr>
        <w:t>为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助力企业高质量发展，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帮助创新主体了解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国内国际专利奖项和高新技术企业申报的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的政策要求、相关流程和注意事项，提高奖项申报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及高新技术企业申报的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质量和水平，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从而提升企业的品牌影响力和市场竞争力‌，呼和浩特市知识产权保护中心</w:t>
      </w:r>
      <w:r>
        <w:rPr>
          <w:rFonts w:ascii="Times New Roman" w:hAnsi="Times New Roman" w:eastAsia="仿宋_GB2312"/>
          <w:spacing w:val="7"/>
          <w:sz w:val="32"/>
          <w:szCs w:val="32"/>
        </w:rPr>
        <w:t>联合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呼和浩特市高新技术企业协会</w:t>
      </w:r>
      <w:r>
        <w:rPr>
          <w:rFonts w:ascii="Times New Roman" w:hAnsi="Times New Roman" w:eastAsia="仿宋_GB2312"/>
          <w:spacing w:val="7"/>
          <w:sz w:val="32"/>
          <w:szCs w:val="32"/>
        </w:rPr>
        <w:t>拟定于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7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pacing w:val="7"/>
          <w:sz w:val="32"/>
          <w:szCs w:val="32"/>
        </w:rPr>
        <w:t>日举办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知识产权助企兴企政策培训会</w:t>
      </w:r>
      <w:r>
        <w:rPr>
          <w:rFonts w:ascii="Times New Roman" w:hAnsi="Times New Roman" w:eastAsia="仿宋_GB2312"/>
          <w:spacing w:val="7"/>
          <w:sz w:val="32"/>
          <w:szCs w:val="32"/>
        </w:rPr>
        <w:t>，现将有关事项通知如下：</w:t>
      </w:r>
    </w:p>
    <w:p w14:paraId="3A064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40" w:lineRule="exact"/>
        <w:ind w:firstLine="61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一、培训时间及地点</w:t>
      </w:r>
    </w:p>
    <w:p w14:paraId="5E0821A4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default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</w:rPr>
        <w:t>培训时间：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月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日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下午14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: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0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-17:00</w:t>
      </w:r>
    </w:p>
    <w:p w14:paraId="270450AC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</w:rPr>
        <w:t>地址：蒙科聚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总部基地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2楼会议室（呼和浩特市赛罕区新华东街与东二环快速路交界西往南800米）</w:t>
      </w:r>
    </w:p>
    <w:p w14:paraId="672F5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40" w:lineRule="exact"/>
        <w:ind w:firstLine="612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二、培训对象</w:t>
      </w:r>
    </w:p>
    <w:p w14:paraId="0984AB38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</w:rPr>
        <w:t>1、企业知识产权管理人员</w:t>
      </w:r>
    </w:p>
    <w:p w14:paraId="4D3AC61B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</w:rPr>
        <w:t>2、高校及科研机构科研管理人员</w:t>
      </w:r>
    </w:p>
    <w:p w14:paraId="18AF70DE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有意申报全球知识产权奖项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中国专利奖和高级技术企业</w:t>
      </w:r>
      <w:r>
        <w:rPr>
          <w:rFonts w:hint="eastAsia" w:ascii="Times New Roman" w:hAnsi="Times New Roman" w:eastAsia="仿宋_GB2312"/>
          <w:spacing w:val="7"/>
          <w:sz w:val="32"/>
          <w:szCs w:val="32"/>
        </w:rPr>
        <w:t>的创新团队</w:t>
      </w:r>
    </w:p>
    <w:p w14:paraId="3F432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40" w:lineRule="exact"/>
        <w:ind w:left="634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三、培训内容</w:t>
      </w:r>
    </w:p>
    <w:p w14:paraId="756EB582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 xml:space="preserve">1、产权组织全球奖申报及流程  </w:t>
      </w:r>
    </w:p>
    <w:p w14:paraId="15D83538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 xml:space="preserve">2、中国专利奖申报  </w:t>
      </w:r>
    </w:p>
    <w:p w14:paraId="6CB03775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3、以税务角度看高新技术企业申报</w:t>
      </w:r>
    </w:p>
    <w:p w14:paraId="395196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40" w:lineRule="exact"/>
        <w:ind w:left="634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四、授课老师</w:t>
      </w:r>
    </w:p>
    <w:p w14:paraId="5AC3F0EF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鲍丽伟  北京隆源知识产权集团合伙人</w:t>
      </w:r>
    </w:p>
    <w:p w14:paraId="3DCD65E4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黄天彪  内蒙古嘉财会计师事务所会计师</w:t>
      </w:r>
    </w:p>
    <w:p w14:paraId="5B5721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40" w:lineRule="exact"/>
        <w:ind w:left="634"/>
        <w:textAlignment w:val="baseline"/>
        <w:outlineLvl w:val="0"/>
        <w:rPr>
          <w:rFonts w:hint="default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五、报名方式</w:t>
      </w:r>
      <w:bookmarkStart w:id="0" w:name="_GoBack"/>
      <w:bookmarkEnd w:id="0"/>
    </w:p>
    <w:p w14:paraId="52C1BE10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请参加线下培训人员填写报名回执(附件1),于3月5日17:00前将回执发送至邮箱： hhhtgqxh2024@163.com。</w:t>
      </w:r>
    </w:p>
    <w:p w14:paraId="3E783AA7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</w:p>
    <w:p w14:paraId="07C0F8C1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668" w:firstLineChars="200"/>
        <w:textAlignment w:val="baseline"/>
        <w:rPr>
          <w:rFonts w:hint="default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附件：1.报名回执表</w:t>
      </w:r>
    </w:p>
    <w:p w14:paraId="3A9EB7A1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right="-80" w:rightChars="0" w:firstLine="1670" w:firstLineChars="5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2.内蒙古自治区知识产权局关于组织申报2025</w:t>
      </w:r>
    </w:p>
    <w:p w14:paraId="3DC34AD0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right="-80" w:rightChars="0" w:firstLine="2004" w:firstLineChars="6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年世界知识产权组织全球奖的通知</w:t>
      </w:r>
    </w:p>
    <w:p w14:paraId="7F8C206F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1670" w:firstLineChars="500"/>
        <w:textAlignment w:val="baseline"/>
        <w:rPr>
          <w:rFonts w:hint="default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3.2025年产权组织全球奖参选规则</w:t>
      </w:r>
    </w:p>
    <w:p w14:paraId="7FDD71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40" w:lineRule="exact"/>
        <w:jc w:val="right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</w:p>
    <w:p w14:paraId="436CB5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40" w:lineRule="exact"/>
        <w:jc w:val="right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 xml:space="preserve">  </w:t>
      </w:r>
    </w:p>
    <w:p w14:paraId="1D7B0546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3674" w:firstLineChars="11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  <w:t>呼和浩特市知识产权保护中心</w:t>
      </w:r>
    </w:p>
    <w:p w14:paraId="5B015552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4676" w:firstLineChars="14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  <w:t>202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  <w:t>年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  <w:t>月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en-US"/>
        </w:rPr>
        <w:t>8日</w:t>
      </w:r>
    </w:p>
    <w:p w14:paraId="49A50B06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right="-80" w:rightChars="0" w:firstLine="668" w:firstLineChars="2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t>(联系人：康宁18047496659  吕静 13739984032)</w:t>
      </w:r>
    </w:p>
    <w:p w14:paraId="76236F4C"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40" w:lineRule="exact"/>
        <w:ind w:left="0" w:right="-80" w:rightChars="0" w:firstLine="1670" w:firstLineChars="500"/>
        <w:textAlignment w:val="baseline"/>
        <w:rPr>
          <w:rFonts w:hint="eastAsia" w:ascii="Times New Roman" w:hAnsi="Times New Roman" w:eastAsia="仿宋_GB2312"/>
          <w:spacing w:val="7"/>
          <w:sz w:val="32"/>
          <w:szCs w:val="32"/>
          <w:lang w:val="en-US" w:eastAsia="zh-CN"/>
        </w:rPr>
        <w:sectPr>
          <w:pgSz w:w="11920" w:h="16960"/>
          <w:pgMar w:top="1440" w:right="1800" w:bottom="1440" w:left="1800" w:header="0" w:footer="0" w:gutter="0"/>
          <w:cols w:space="720" w:num="1"/>
        </w:sectPr>
      </w:pPr>
    </w:p>
    <w:p w14:paraId="7C08D929">
      <w:pPr>
        <w:spacing w:line="327" w:lineRule="auto"/>
        <w:rPr>
          <w:rFonts w:ascii="Arial"/>
          <w:sz w:val="21"/>
        </w:rPr>
      </w:pPr>
    </w:p>
    <w:p w14:paraId="4135ED1F">
      <w:pPr>
        <w:spacing w:line="328" w:lineRule="auto"/>
        <w:rPr>
          <w:rFonts w:ascii="Arial"/>
          <w:sz w:val="21"/>
        </w:rPr>
      </w:pPr>
    </w:p>
    <w:p w14:paraId="0C6331E2">
      <w:pPr>
        <w:spacing w:before="104" w:line="224" w:lineRule="auto"/>
        <w:ind w:left="76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5"/>
          <w:sz w:val="32"/>
          <w:szCs w:val="32"/>
        </w:rPr>
        <w:t>附件1</w:t>
      </w:r>
    </w:p>
    <w:p w14:paraId="15AE5841">
      <w:pPr>
        <w:spacing w:before="91" w:line="219" w:lineRule="auto"/>
        <w:ind w:left="2571"/>
        <w:rPr>
          <w:rFonts w:hint="eastAsia" w:ascii="宋体" w:hAnsi="宋体" w:eastAsia="宋体" w:cs="宋体"/>
          <w:b/>
          <w:bCs/>
          <w:spacing w:val="-26"/>
          <w:sz w:val="46"/>
          <w:szCs w:val="46"/>
          <w:lang w:val="en-US" w:eastAsia="zh-CN"/>
        </w:rPr>
      </w:pPr>
    </w:p>
    <w:p w14:paraId="4232BEF8">
      <w:pPr>
        <w:spacing w:before="91" w:line="219" w:lineRule="auto"/>
        <w:ind w:left="2571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6"/>
          <w:sz w:val="46"/>
          <w:szCs w:val="46"/>
          <w:lang w:val="en-US" w:eastAsia="zh-CN"/>
        </w:rPr>
        <w:t>呼和浩特市知识产权助企兴企政策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培训</w:t>
      </w:r>
      <w:r>
        <w:rPr>
          <w:rFonts w:hint="eastAsia" w:ascii="宋体" w:hAnsi="宋体" w:eastAsia="宋体" w:cs="宋体"/>
          <w:b/>
          <w:bCs/>
          <w:spacing w:val="-24"/>
          <w:sz w:val="46"/>
          <w:szCs w:val="46"/>
          <w:lang w:val="en-US" w:eastAsia="zh-CN"/>
        </w:rPr>
        <w:t>会</w:t>
      </w:r>
      <w:r>
        <w:rPr>
          <w:rFonts w:ascii="宋体" w:hAnsi="宋体" w:eastAsia="宋体" w:cs="宋体"/>
          <w:b/>
          <w:bCs/>
          <w:sz w:val="44"/>
          <w:szCs w:val="44"/>
        </w:rPr>
        <w:t>报名回执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</w:p>
    <w:p w14:paraId="736CCB49">
      <w:pPr>
        <w:spacing w:before="14"/>
      </w:pPr>
    </w:p>
    <w:p w14:paraId="5597CF30">
      <w:pPr>
        <w:spacing w:before="13"/>
      </w:pPr>
    </w:p>
    <w:tbl>
      <w:tblPr>
        <w:tblStyle w:val="6"/>
        <w:tblW w:w="125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859"/>
        <w:gridCol w:w="4776"/>
        <w:gridCol w:w="2718"/>
        <w:gridCol w:w="2028"/>
      </w:tblGrid>
      <w:tr w14:paraId="0A4C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94" w:type="dxa"/>
            <w:vAlign w:val="top"/>
          </w:tcPr>
          <w:p w14:paraId="15339D20">
            <w:pPr>
              <w:spacing w:before="199" w:line="198" w:lineRule="auto"/>
              <w:ind w:left="2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859" w:type="dxa"/>
            <w:vAlign w:val="top"/>
          </w:tcPr>
          <w:p w14:paraId="73B1D979">
            <w:pPr>
              <w:spacing w:before="208" w:line="193" w:lineRule="auto"/>
              <w:ind w:left="62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4776" w:type="dxa"/>
            <w:vAlign w:val="top"/>
          </w:tcPr>
          <w:p w14:paraId="389B91E3">
            <w:pPr>
              <w:spacing w:before="199" w:line="198" w:lineRule="auto"/>
              <w:ind w:left="175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工作单位</w:t>
            </w:r>
          </w:p>
        </w:tc>
        <w:tc>
          <w:tcPr>
            <w:tcW w:w="2718" w:type="dxa"/>
            <w:vAlign w:val="top"/>
          </w:tcPr>
          <w:p w14:paraId="05C9C437">
            <w:pPr>
              <w:spacing w:before="123" w:line="219" w:lineRule="auto"/>
              <w:ind w:left="105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职务</w:t>
            </w:r>
          </w:p>
        </w:tc>
        <w:tc>
          <w:tcPr>
            <w:tcW w:w="2028" w:type="dxa"/>
            <w:vAlign w:val="top"/>
          </w:tcPr>
          <w:p w14:paraId="632D8887">
            <w:pPr>
              <w:spacing w:before="129" w:line="221" w:lineRule="auto"/>
              <w:ind w:left="38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 w14:paraId="768F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94" w:type="dxa"/>
            <w:vAlign w:val="top"/>
          </w:tcPr>
          <w:p w14:paraId="51050964">
            <w:pPr>
              <w:pStyle w:val="7"/>
            </w:pPr>
          </w:p>
        </w:tc>
        <w:tc>
          <w:tcPr>
            <w:tcW w:w="1859" w:type="dxa"/>
            <w:vAlign w:val="top"/>
          </w:tcPr>
          <w:p w14:paraId="1DBB28E8">
            <w:pPr>
              <w:pStyle w:val="7"/>
            </w:pPr>
          </w:p>
        </w:tc>
        <w:tc>
          <w:tcPr>
            <w:tcW w:w="4776" w:type="dxa"/>
            <w:vAlign w:val="top"/>
          </w:tcPr>
          <w:p w14:paraId="3F50119C">
            <w:pPr>
              <w:pStyle w:val="7"/>
            </w:pPr>
          </w:p>
        </w:tc>
        <w:tc>
          <w:tcPr>
            <w:tcW w:w="2718" w:type="dxa"/>
            <w:vAlign w:val="top"/>
          </w:tcPr>
          <w:p w14:paraId="615E6C39">
            <w:pPr>
              <w:pStyle w:val="7"/>
            </w:pPr>
          </w:p>
        </w:tc>
        <w:tc>
          <w:tcPr>
            <w:tcW w:w="2028" w:type="dxa"/>
            <w:vAlign w:val="top"/>
          </w:tcPr>
          <w:p w14:paraId="74DE4596">
            <w:pPr>
              <w:pStyle w:val="7"/>
            </w:pPr>
          </w:p>
        </w:tc>
      </w:tr>
      <w:tr w14:paraId="5D88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94" w:type="dxa"/>
            <w:vAlign w:val="top"/>
          </w:tcPr>
          <w:p w14:paraId="0DA1B276">
            <w:pPr>
              <w:pStyle w:val="7"/>
            </w:pPr>
          </w:p>
        </w:tc>
        <w:tc>
          <w:tcPr>
            <w:tcW w:w="1859" w:type="dxa"/>
            <w:vAlign w:val="top"/>
          </w:tcPr>
          <w:p w14:paraId="2826EA7E">
            <w:pPr>
              <w:pStyle w:val="7"/>
            </w:pPr>
          </w:p>
        </w:tc>
        <w:tc>
          <w:tcPr>
            <w:tcW w:w="4776" w:type="dxa"/>
            <w:vAlign w:val="top"/>
          </w:tcPr>
          <w:p w14:paraId="1C631A3B">
            <w:pPr>
              <w:pStyle w:val="7"/>
            </w:pPr>
          </w:p>
        </w:tc>
        <w:tc>
          <w:tcPr>
            <w:tcW w:w="2718" w:type="dxa"/>
            <w:vAlign w:val="top"/>
          </w:tcPr>
          <w:p w14:paraId="2A101C51">
            <w:pPr>
              <w:pStyle w:val="7"/>
            </w:pPr>
          </w:p>
        </w:tc>
        <w:tc>
          <w:tcPr>
            <w:tcW w:w="2028" w:type="dxa"/>
            <w:vAlign w:val="top"/>
          </w:tcPr>
          <w:p w14:paraId="5A6D651D">
            <w:pPr>
              <w:pStyle w:val="7"/>
            </w:pPr>
          </w:p>
        </w:tc>
      </w:tr>
      <w:tr w14:paraId="1A66C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94" w:type="dxa"/>
            <w:vAlign w:val="top"/>
          </w:tcPr>
          <w:p w14:paraId="602BE2EB">
            <w:pPr>
              <w:pStyle w:val="7"/>
            </w:pPr>
          </w:p>
        </w:tc>
        <w:tc>
          <w:tcPr>
            <w:tcW w:w="1859" w:type="dxa"/>
            <w:vAlign w:val="top"/>
          </w:tcPr>
          <w:p w14:paraId="2CF3F202">
            <w:pPr>
              <w:pStyle w:val="7"/>
            </w:pPr>
          </w:p>
        </w:tc>
        <w:tc>
          <w:tcPr>
            <w:tcW w:w="4776" w:type="dxa"/>
            <w:vAlign w:val="top"/>
          </w:tcPr>
          <w:p w14:paraId="6A7294A8">
            <w:pPr>
              <w:pStyle w:val="7"/>
            </w:pPr>
          </w:p>
        </w:tc>
        <w:tc>
          <w:tcPr>
            <w:tcW w:w="2718" w:type="dxa"/>
            <w:vAlign w:val="top"/>
          </w:tcPr>
          <w:p w14:paraId="1A1A8150">
            <w:pPr>
              <w:pStyle w:val="7"/>
            </w:pPr>
          </w:p>
        </w:tc>
        <w:tc>
          <w:tcPr>
            <w:tcW w:w="2028" w:type="dxa"/>
            <w:vAlign w:val="top"/>
          </w:tcPr>
          <w:p w14:paraId="6033B5E6">
            <w:pPr>
              <w:pStyle w:val="7"/>
            </w:pPr>
          </w:p>
        </w:tc>
      </w:tr>
      <w:tr w14:paraId="61A6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94" w:type="dxa"/>
            <w:vAlign w:val="top"/>
          </w:tcPr>
          <w:p w14:paraId="6ED52E94">
            <w:pPr>
              <w:pStyle w:val="7"/>
            </w:pPr>
          </w:p>
        </w:tc>
        <w:tc>
          <w:tcPr>
            <w:tcW w:w="1859" w:type="dxa"/>
            <w:vAlign w:val="top"/>
          </w:tcPr>
          <w:p w14:paraId="13A33FA0">
            <w:pPr>
              <w:pStyle w:val="7"/>
            </w:pPr>
          </w:p>
        </w:tc>
        <w:tc>
          <w:tcPr>
            <w:tcW w:w="4776" w:type="dxa"/>
            <w:vAlign w:val="top"/>
          </w:tcPr>
          <w:p w14:paraId="2C453FF1">
            <w:pPr>
              <w:pStyle w:val="7"/>
            </w:pPr>
          </w:p>
        </w:tc>
        <w:tc>
          <w:tcPr>
            <w:tcW w:w="2718" w:type="dxa"/>
            <w:vAlign w:val="top"/>
          </w:tcPr>
          <w:p w14:paraId="06A17B03">
            <w:pPr>
              <w:pStyle w:val="7"/>
            </w:pPr>
          </w:p>
        </w:tc>
        <w:tc>
          <w:tcPr>
            <w:tcW w:w="2028" w:type="dxa"/>
            <w:vAlign w:val="top"/>
          </w:tcPr>
          <w:p w14:paraId="23A04346">
            <w:pPr>
              <w:pStyle w:val="7"/>
            </w:pPr>
          </w:p>
        </w:tc>
      </w:tr>
    </w:tbl>
    <w:p w14:paraId="5B58EE5D">
      <w:pPr>
        <w:rPr>
          <w:rFonts w:ascii="Arial"/>
          <w:sz w:val="21"/>
        </w:rPr>
      </w:pPr>
    </w:p>
    <w:sectPr>
      <w:pgSz w:w="16960" w:h="11870"/>
      <w:pgMar w:top="1008" w:right="1365" w:bottom="0" w:left="1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8B1235-0975-4579-AC34-3085E47D75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205EA9-7B8B-4A05-AC1B-352D39C93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3" w:fontKey="{5CFA6AAF-478A-46EA-B003-E7F381EB71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005F13-5F09-4B4C-85C6-941C8744AD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4BA231E"/>
    <w:rsid w:val="10196798"/>
    <w:rsid w:val="150741FD"/>
    <w:rsid w:val="1D0E043F"/>
    <w:rsid w:val="1D2422D8"/>
    <w:rsid w:val="237A0137"/>
    <w:rsid w:val="25F76D83"/>
    <w:rsid w:val="33AD497E"/>
    <w:rsid w:val="3E3843A3"/>
    <w:rsid w:val="472D42FC"/>
    <w:rsid w:val="5C1319C2"/>
    <w:rsid w:val="62ED4E82"/>
    <w:rsid w:val="66044022"/>
    <w:rsid w:val="6B714C55"/>
    <w:rsid w:val="72231346"/>
    <w:rsid w:val="742A730F"/>
    <w:rsid w:val="762F4EF0"/>
    <w:rsid w:val="7CCF4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590</Words>
  <Characters>656</Characters>
  <TotalTime>0</TotalTime>
  <ScaleCrop>false</ScaleCrop>
  <LinksUpToDate>false</LinksUpToDate>
  <CharactersWithSpaces>668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2025-02-27T10:49:00Z</dcterms:created>
  <dc:creator>Kingsoft-PDF</dc:creator>
  <cp:lastModifiedBy>刘燕军</cp:lastModifiedBy>
  <cp:lastPrinted>2025-02-28T07:38:20Z</cp:lastPrinted>
  <dcterms:modified xsi:type="dcterms:W3CDTF">2025-02-28T08:18:49Z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2025-02-27T10:49:09Z</vt:filetime>
  </property>
  <property fmtid="{D5CDD505-2E9C-101B-9397-08002B2CF9AE}" pid="4" name="UsrData">
    <vt:lpwstr>67bfd2a2182be6001f1562aewl</vt:lpwstr>
  </property>
  <property fmtid="{D5CDD505-2E9C-101B-9397-08002B2CF9AE}" pid="5" name="KSOTemplateDocerSaveRecord">
    <vt:lpwstr>eyJoZGlkIjoiM2NmMDYzYjc3MGM1NGRmNzQxMzQ3YWUyY2U4MmQyNmEiLCJ1c2VySWQiOiI0NDIyOTMwOTUifQ==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B43AAB0F9FE3446D97B5FCD5139C7C3B_13</vt:lpwstr>
  </property>
</Properties>
</file>